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
        <w:shd w:fill="042547"/>
      </w:pPr>
      <w:r>
        <w:rPr>
          <w:b/>
          <w:color w:val="FFFFFF"/>
          <w:sz w:val="18"/>
        </w:rPr>
        <w:t>BUYING BRIEF  POLICY</w:t>
      </w:r>
    </w:p>
    <w:p>
      <w:pPr>
        <w:pStyle w:val="Title"/>
      </w:pPr>
      <w:r>
        <w:t>Service Guarantee, Dispute &amp; Fair Refund Policy</w:t>
      </w:r>
    </w:p>
    <w:p>
      <w:pPr>
        <w:pStyle w:val="Subtitle"/>
      </w:pPr>
      <w:r>
        <w:t>A practical promise of accountability from ChinaBuyingOffice, operated by Packonics LLC.</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90" w:type="dxa"/>
              <w:start w:w="120" w:type="dxa"/>
              <w:bottom w:w="90" w:type="dxa"/>
              <w:end w:w="120" w:type="dxa"/>
            </w:tcMar>
            <w:vAlign w:val="center"/>
            <w:shd w:fill="EAF2F6"/>
          </w:tcPr>
          <w:p>
            <w:pPr>
              <w:pStyle w:val="FieldLabel"/>
            </w:pPr>
            <w:r>
              <w:t>BEST FOR</w:t>
            </w:r>
          </w:p>
        </w:tc>
        <w:tc>
          <w:tcPr>
            <w:tcW w:type="dxa" w:w="4680"/>
            <w:tcMar>
              <w:top w:w="90" w:type="dxa"/>
              <w:start w:w="120" w:type="dxa"/>
              <w:bottom w:w="90" w:type="dxa"/>
              <w:end w:w="120" w:type="dxa"/>
            </w:tcMar>
            <w:vAlign w:val="center"/>
            <w:shd w:fill="EAF2F6"/>
          </w:tcPr>
          <w:p>
            <w:pPr>
              <w:pStyle w:val="FieldLabel"/>
            </w:pPr>
            <w:r>
              <w:t>TYPICAL TIME TO COMPLETE</w:t>
            </w:r>
          </w:p>
        </w:tc>
      </w:tr>
      <w:tr>
        <w:tc>
          <w:tcPr>
            <w:tcW w:type="dxa" w:w="4680"/>
            <w:tcMar>
              <w:top w:w="90" w:type="dxa"/>
              <w:start w:w="120" w:type="dxa"/>
              <w:bottom w:w="90" w:type="dxa"/>
              <w:end w:w="120" w:type="dxa"/>
            </w:tcMar>
            <w:vAlign w:val="center"/>
          </w:tcPr>
          <w:p>
            <w:r>
              <w:t>All ChinaBuyingOffice service engagements</w:t>
            </w:r>
          </w:p>
        </w:tc>
        <w:tc>
          <w:tcPr>
            <w:tcW w:type="dxa" w:w="4680"/>
            <w:tcMar>
              <w:top w:w="90" w:type="dxa"/>
              <w:start w:w="120" w:type="dxa"/>
              <w:bottom w:w="90" w:type="dxa"/>
              <w:end w:w="120" w:type="dxa"/>
            </w:tcMar>
            <w:vAlign w:val="center"/>
          </w:tcPr>
          <w:p>
            <w:r>
              <w:t>Read before approving a paid scope</w:t>
            </w:r>
          </w:p>
        </w:tc>
      </w:tr>
    </w:tbl>
    <w:p>
      <w:r>
        <w:t>Complete the fields you know. Attach links, photos, quotations, drawings, or specifications where available. Unknown answers are acceptable—we will identify the gaps during the free assessment.</w:t>
      </w:r>
    </w:p>
    <w:p>
      <w:pPr>
        <w:pStyle w:val="Heading1"/>
        <w:shd w:fill="EAF2F6"/>
      </w:pPr>
      <w:r>
        <w:t>Our long-term service promise</w:t>
      </w:r>
    </w:p>
    <w:p>
      <w:r>
        <w:rPr>
          <w:b/>
          <w:color w:val="042547"/>
        </w:rPr>
        <w:t>We are not building this business to earn one service fee and disappear.</w:t>
      </w:r>
      <w:r>
        <w:t xml:space="preserve"> Our purpose is to become a long-term, trusted, and responsible China purchasing office for our clients. When a reasonable concern is raised, we review the evidence, discuss the impact openly, correct what can be corrected, and provide a partial or full refund when our service did not meet the agreed written scope.</w:t>
      </w:r>
    </w:p>
    <w:p>
      <w:r>
        <w:t>Refund decisions are based on the affected service, the written scope, the work actually completed, the seriousness of the error, whether it can be corrected, and the measurable impact on the client. We aim to reach a fair written resolution through direct discussion with the client.</w:t>
      </w:r>
    </w:p>
    <w:p>
      <w:pPr>
        <w:pStyle w:val="Heading1"/>
        <w:shd w:fill="EAF2F6"/>
      </w:pPr>
      <w:r>
        <w:t>1. Refund standard for service errors</w:t>
      </w:r>
    </w:p>
    <w:p>
      <w:pPr>
        <w:spacing w:after="120"/>
      </w:pPr>
      <w:r>
        <w:rPr>
          <w:i/>
          <w:color w:val="5E6E78"/>
        </w:rPr>
        <w:t>Percentages apply to the service fee for the affected service or milestone—not automatically to the total product purchase, freight, duty, or project value.</w:t>
      </w:r>
    </w:p>
    <w:tbl>
      <w:tblPr>
        <w:tblW w:type="dxa" w:w="9360"/>
        <w:tblLayout w:type="fixed"/>
        <w:tblLook w:firstColumn="1" w:firstRow="1" w:lastColumn="0" w:lastRow="0" w:noHBand="0" w:noVBand="1" w:val="04A0"/>
        <w:tblInd w:w="120" w:type="dxa"/>
      </w:tblPr>
      <w:tblGrid>
        <w:gridCol w:w="1980"/>
        <w:gridCol w:w="1980"/>
        <w:gridCol w:w="2070"/>
        <w:gridCol w:w="3330"/>
      </w:tblGrid>
      <w:tr>
        <w:trPr>
          <w:tblHeader w:val="true"/>
        </w:trPr>
        <w:tc>
          <w:tcPr>
            <w:tcW w:type="dxa" w:w="1980"/>
            <w:shd w:fill="042547"/>
            <w:tcMar>
              <w:top w:w="90" w:type="dxa"/>
              <w:start w:w="120" w:type="dxa"/>
              <w:bottom w:w="90" w:type="dxa"/>
              <w:end w:w="120" w:type="dxa"/>
            </w:tcMar>
            <w:vAlign w:val="center"/>
          </w:tcPr>
          <w:p>
            <w:r>
              <w:rPr>
                <w:b/>
                <w:color w:val="FFFFFF"/>
                <w:sz w:val="16"/>
              </w:rPr>
              <w:t>SITUATION</w:t>
            </w:r>
          </w:p>
        </w:tc>
        <w:tc>
          <w:tcPr>
            <w:tcW w:type="dxa" w:w="1980"/>
            <w:shd w:fill="042547"/>
            <w:tcMar>
              <w:top w:w="90" w:type="dxa"/>
              <w:start w:w="120" w:type="dxa"/>
              <w:bottom w:w="90" w:type="dxa"/>
              <w:end w:w="120" w:type="dxa"/>
            </w:tcMar>
            <w:vAlign w:val="center"/>
          </w:tcPr>
          <w:p>
            <w:r>
              <w:rPr>
                <w:b/>
                <w:color w:val="FFFFFF"/>
                <w:sz w:val="16"/>
              </w:rPr>
              <w:t>OUR REMEDY</w:t>
            </w:r>
          </w:p>
        </w:tc>
        <w:tc>
          <w:tcPr>
            <w:tcW w:type="dxa" w:w="2070"/>
            <w:shd w:fill="042547"/>
            <w:tcMar>
              <w:top w:w="90" w:type="dxa"/>
              <w:start w:w="120" w:type="dxa"/>
              <w:bottom w:w="90" w:type="dxa"/>
              <w:end w:w="120" w:type="dxa"/>
            </w:tcMar>
            <w:vAlign w:val="center"/>
          </w:tcPr>
          <w:p>
            <w:r>
              <w:rPr>
                <w:b/>
                <w:color w:val="FFFFFF"/>
                <w:sz w:val="16"/>
              </w:rPr>
              <w:t>REFUND STANDARD</w:t>
            </w:r>
          </w:p>
        </w:tc>
        <w:tc>
          <w:tcPr>
            <w:tcW w:type="dxa" w:w="3330"/>
            <w:shd w:fill="042547"/>
            <w:tcMar>
              <w:top w:w="90" w:type="dxa"/>
              <w:start w:w="120" w:type="dxa"/>
              <w:bottom w:w="90" w:type="dxa"/>
              <w:end w:w="120" w:type="dxa"/>
            </w:tcMar>
            <w:vAlign w:val="center"/>
          </w:tcPr>
          <w:p>
            <w:r>
              <w:rPr>
                <w:b/>
                <w:color w:val="FFFFFF"/>
                <w:sz w:val="16"/>
              </w:rPr>
              <w:t>EXAMPLES</w:t>
            </w:r>
          </w:p>
        </w:tc>
      </w:tr>
      <w:tr>
        <w:tc>
          <w:tcPr>
            <w:tcW w:type="dxa" w:w="1980"/>
            <w:tcMar>
              <w:top w:w="90" w:type="dxa"/>
              <w:start w:w="120" w:type="dxa"/>
              <w:bottom w:w="90" w:type="dxa"/>
              <w:end w:w="120" w:type="dxa"/>
            </w:tcMar>
            <w:vAlign w:val="center"/>
          </w:tcPr>
          <w:p>
            <w:r>
              <w:rPr>
                <w:sz w:val="16"/>
              </w:rPr>
              <w:t>Cancelled before paid work begins</w:t>
            </w:r>
          </w:p>
        </w:tc>
        <w:tc>
          <w:tcPr>
            <w:tcW w:type="dxa" w:w="1980"/>
            <w:tcMar>
              <w:top w:w="90" w:type="dxa"/>
              <w:start w:w="120" w:type="dxa"/>
              <w:bottom w:w="90" w:type="dxa"/>
              <w:end w:w="120" w:type="dxa"/>
            </w:tcMar>
            <w:vAlign w:val="center"/>
          </w:tcPr>
          <w:p>
            <w:r>
              <w:rPr>
                <w:sz w:val="16"/>
              </w:rPr>
              <w:t>Cancel the scope</w:t>
            </w:r>
          </w:p>
        </w:tc>
        <w:tc>
          <w:tcPr>
            <w:tcW w:type="dxa" w:w="2070"/>
            <w:shd w:fill="EAF2F6"/>
            <w:tcMar>
              <w:top w:w="90" w:type="dxa"/>
              <w:start w:w="120" w:type="dxa"/>
              <w:bottom w:w="90" w:type="dxa"/>
              <w:end w:w="120" w:type="dxa"/>
            </w:tcMar>
            <w:vAlign w:val="center"/>
          </w:tcPr>
          <w:p>
            <w:r>
              <w:rPr>
                <w:sz w:val="16"/>
              </w:rPr>
              <w:t>100% of the service fee</w:t>
            </w:r>
          </w:p>
        </w:tc>
        <w:tc>
          <w:tcPr>
            <w:tcW w:type="dxa" w:w="3330"/>
            <w:tcMar>
              <w:top w:w="90" w:type="dxa"/>
              <w:start w:w="120" w:type="dxa"/>
              <w:bottom w:w="90" w:type="dxa"/>
              <w:end w:w="120" w:type="dxa"/>
            </w:tcMar>
            <w:vAlign w:val="center"/>
          </w:tcPr>
          <w:p>
            <w:r>
              <w:rPr>
                <w:sz w:val="16"/>
              </w:rPr>
              <w:t>No sourcing, review, communication, booking, or other paid work has started.</w:t>
            </w:r>
          </w:p>
        </w:tc>
      </w:tr>
      <w:tr>
        <w:tc>
          <w:tcPr>
            <w:tcW w:type="dxa" w:w="1980"/>
            <w:tcMar>
              <w:top w:w="90" w:type="dxa"/>
              <w:start w:w="120" w:type="dxa"/>
              <w:bottom w:w="90" w:type="dxa"/>
              <w:end w:w="120" w:type="dxa"/>
            </w:tcMar>
            <w:vAlign w:val="center"/>
          </w:tcPr>
          <w:p>
            <w:r>
              <w:rPr>
                <w:sz w:val="16"/>
              </w:rPr>
              <w:t>Minor, correctable service error</w:t>
            </w:r>
          </w:p>
        </w:tc>
        <w:tc>
          <w:tcPr>
            <w:tcW w:type="dxa" w:w="1980"/>
            <w:tcMar>
              <w:top w:w="90" w:type="dxa"/>
              <w:start w:w="120" w:type="dxa"/>
              <w:bottom w:w="90" w:type="dxa"/>
              <w:end w:w="120" w:type="dxa"/>
            </w:tcMar>
            <w:vAlign w:val="center"/>
          </w:tcPr>
          <w:p>
            <w:r>
              <w:rPr>
                <w:sz w:val="16"/>
              </w:rPr>
              <w:t>Correct promptly at no charge</w:t>
            </w:r>
          </w:p>
        </w:tc>
        <w:tc>
          <w:tcPr>
            <w:tcW w:type="dxa" w:w="2070"/>
            <w:shd w:fill="EAF2F6"/>
            <w:tcMar>
              <w:top w:w="90" w:type="dxa"/>
              <w:start w:w="120" w:type="dxa"/>
              <w:bottom w:w="90" w:type="dxa"/>
              <w:end w:w="120" w:type="dxa"/>
            </w:tcMar>
            <w:vAlign w:val="center"/>
          </w:tcPr>
          <w:p>
            <w:r>
              <w:rPr>
                <w:sz w:val="16"/>
              </w:rPr>
              <w:t>0% normally; 10%–25% if the error caused material inconvenience or avoidable delay</w:t>
            </w:r>
          </w:p>
        </w:tc>
        <w:tc>
          <w:tcPr>
            <w:tcW w:type="dxa" w:w="3330"/>
            <w:tcMar>
              <w:top w:w="90" w:type="dxa"/>
              <w:start w:w="120" w:type="dxa"/>
              <w:bottom w:w="90" w:type="dxa"/>
              <w:end w:w="120" w:type="dxa"/>
            </w:tcMar>
            <w:vAlign w:val="center"/>
          </w:tcPr>
          <w:p>
            <w:r>
              <w:rPr>
                <w:sz w:val="16"/>
              </w:rPr>
              <w:t>Formatting omission, incomplete note, non-critical mistranslation, or a small comparison error that does not change the decision.</w:t>
            </w:r>
          </w:p>
        </w:tc>
      </w:tr>
      <w:tr>
        <w:tc>
          <w:tcPr>
            <w:tcW w:type="dxa" w:w="1980"/>
            <w:tcMar>
              <w:top w:w="90" w:type="dxa"/>
              <w:start w:w="120" w:type="dxa"/>
              <w:bottom w:w="90" w:type="dxa"/>
              <w:end w:w="120" w:type="dxa"/>
            </w:tcMar>
            <w:vAlign w:val="center"/>
          </w:tcPr>
          <w:p>
            <w:r>
              <w:rPr>
                <w:sz w:val="16"/>
              </w:rPr>
              <w:t>Significant error, but the work can be recovered</w:t>
            </w:r>
          </w:p>
        </w:tc>
        <w:tc>
          <w:tcPr>
            <w:tcW w:type="dxa" w:w="1980"/>
            <w:tcMar>
              <w:top w:w="90" w:type="dxa"/>
              <w:start w:w="120" w:type="dxa"/>
              <w:bottom w:w="90" w:type="dxa"/>
              <w:end w:w="120" w:type="dxa"/>
            </w:tcMar>
            <w:vAlign w:val="center"/>
          </w:tcPr>
          <w:p>
            <w:r>
              <w:rPr>
                <w:sz w:val="16"/>
              </w:rPr>
              <w:t>Correct or redo at no charge</w:t>
            </w:r>
          </w:p>
        </w:tc>
        <w:tc>
          <w:tcPr>
            <w:tcW w:type="dxa" w:w="2070"/>
            <w:shd w:fill="EAF2F6"/>
            <w:tcMar>
              <w:top w:w="90" w:type="dxa"/>
              <w:start w:w="120" w:type="dxa"/>
              <w:bottom w:w="90" w:type="dxa"/>
              <w:end w:w="120" w:type="dxa"/>
            </w:tcMar>
            <w:vAlign w:val="center"/>
          </w:tcPr>
          <w:p>
            <w:r>
              <w:rPr>
                <w:sz w:val="16"/>
              </w:rPr>
              <w:t>25%–50% of the affected service fee</w:t>
            </w:r>
          </w:p>
        </w:tc>
        <w:tc>
          <w:tcPr>
            <w:tcW w:type="dxa" w:w="3330"/>
            <w:tcMar>
              <w:top w:w="90" w:type="dxa"/>
              <w:start w:w="120" w:type="dxa"/>
              <w:bottom w:w="90" w:type="dxa"/>
              <w:end w:w="120" w:type="dxa"/>
            </w:tcMar>
            <w:vAlign w:val="center"/>
          </w:tcPr>
          <w:p>
            <w:r>
              <w:rPr>
                <w:sz w:val="16"/>
              </w:rPr>
              <w:t>Important requirement omitted, unreliable comparison section, preventable communication error, or a report requiring substantial rework.</w:t>
            </w:r>
          </w:p>
        </w:tc>
      </w:tr>
      <w:tr>
        <w:tc>
          <w:tcPr>
            <w:tcW w:type="dxa" w:w="1980"/>
            <w:tcMar>
              <w:top w:w="90" w:type="dxa"/>
              <w:start w:w="120" w:type="dxa"/>
              <w:bottom w:w="90" w:type="dxa"/>
              <w:end w:w="120" w:type="dxa"/>
            </w:tcMar>
            <w:vAlign w:val="center"/>
          </w:tcPr>
          <w:p>
            <w:r>
              <w:rPr>
                <w:sz w:val="16"/>
              </w:rPr>
              <w:t>Core service failure or unusable deliverable</w:t>
            </w:r>
          </w:p>
        </w:tc>
        <w:tc>
          <w:tcPr>
            <w:tcW w:type="dxa" w:w="1980"/>
            <w:tcMar>
              <w:top w:w="90" w:type="dxa"/>
              <w:start w:w="120" w:type="dxa"/>
              <w:bottom w:w="90" w:type="dxa"/>
              <w:end w:w="120" w:type="dxa"/>
            </w:tcMar>
            <w:vAlign w:val="center"/>
          </w:tcPr>
          <w:p>
            <w:r>
              <w:rPr>
                <w:sz w:val="16"/>
              </w:rPr>
              <w:t>Stop, redo if useful, or terminate</w:t>
            </w:r>
          </w:p>
        </w:tc>
        <w:tc>
          <w:tcPr>
            <w:tcW w:type="dxa" w:w="2070"/>
            <w:shd w:fill="EAF2F6"/>
            <w:tcMar>
              <w:top w:w="90" w:type="dxa"/>
              <w:start w:w="120" w:type="dxa"/>
              <w:bottom w:w="90" w:type="dxa"/>
              <w:end w:w="120" w:type="dxa"/>
            </w:tcMar>
            <w:vAlign w:val="center"/>
          </w:tcPr>
          <w:p>
            <w:r>
              <w:rPr>
                <w:sz w:val="16"/>
              </w:rPr>
              <w:t>50%–100% of the affected service fee</w:t>
            </w:r>
          </w:p>
        </w:tc>
        <w:tc>
          <w:tcPr>
            <w:tcW w:type="dxa" w:w="3330"/>
            <w:tcMar>
              <w:top w:w="90" w:type="dxa"/>
              <w:start w:w="120" w:type="dxa"/>
              <w:bottom w:w="90" w:type="dxa"/>
              <w:end w:w="120" w:type="dxa"/>
            </w:tcMar>
            <w:vAlign w:val="center"/>
          </w:tcPr>
          <w:p>
            <w:r>
              <w:rPr>
                <w:sz w:val="16"/>
              </w:rPr>
              <w:t>An agreed core task was not performed; a written critical instruction was ignored; or the principal deliverable cannot reasonably be used.</w:t>
            </w:r>
          </w:p>
        </w:tc>
      </w:tr>
      <w:tr>
        <w:tc>
          <w:tcPr>
            <w:tcW w:type="dxa" w:w="1980"/>
            <w:tcMar>
              <w:top w:w="90" w:type="dxa"/>
              <w:start w:w="120" w:type="dxa"/>
              <w:bottom w:w="90" w:type="dxa"/>
              <w:end w:w="120" w:type="dxa"/>
            </w:tcMar>
            <w:vAlign w:val="center"/>
          </w:tcPr>
          <w:p>
            <w:r>
              <w:rPr>
                <w:sz w:val="16"/>
              </w:rPr>
              <w:t>Serious breach of trust</w:t>
            </w:r>
          </w:p>
        </w:tc>
        <w:tc>
          <w:tcPr>
            <w:tcW w:type="dxa" w:w="1980"/>
            <w:tcMar>
              <w:top w:w="90" w:type="dxa"/>
              <w:start w:w="120" w:type="dxa"/>
              <w:bottom w:w="90" w:type="dxa"/>
              <w:end w:w="120" w:type="dxa"/>
            </w:tcMar>
            <w:vAlign w:val="center"/>
          </w:tcPr>
          <w:p>
            <w:r>
              <w:rPr>
                <w:sz w:val="16"/>
              </w:rPr>
              <w:t>Immediate management review and termination option</w:t>
            </w:r>
          </w:p>
        </w:tc>
        <w:tc>
          <w:tcPr>
            <w:tcW w:type="dxa" w:w="2070"/>
            <w:shd w:fill="EAF2F6"/>
            <w:tcMar>
              <w:top w:w="90" w:type="dxa"/>
              <w:start w:w="120" w:type="dxa"/>
              <w:bottom w:w="90" w:type="dxa"/>
              <w:end w:w="120" w:type="dxa"/>
            </w:tcMar>
            <w:vAlign w:val="center"/>
          </w:tcPr>
          <w:p>
            <w:r>
              <w:rPr>
                <w:sz w:val="16"/>
              </w:rPr>
              <w:t>100% of all service fees affected by the breach</w:t>
            </w:r>
          </w:p>
        </w:tc>
        <w:tc>
          <w:tcPr>
            <w:tcW w:type="dxa" w:w="3330"/>
            <w:tcMar>
              <w:top w:w="90" w:type="dxa"/>
              <w:start w:w="120" w:type="dxa"/>
              <w:bottom w:w="90" w:type="dxa"/>
              <w:end w:w="120" w:type="dxa"/>
            </w:tcMar>
            <w:vAlign w:val="center"/>
          </w:tcPr>
          <w:p>
            <w:r>
              <w:rPr>
                <w:sz w:val="16"/>
              </w:rPr>
              <w:t>Fabricated evidence, intentional misrepresentation, undisclosed conflicting interest or commission contrary to the written agreement, or deliberate concealment of a material fact.</w:t>
            </w:r>
          </w:p>
        </w:tc>
      </w:tr>
    </w:tbl>
    <w:p>
      <w:pPr>
        <w:pStyle w:val="Heading1"/>
        <w:shd w:fill="EAF2F6"/>
      </w:pPr>
      <w:r>
        <w:t>2. When a full service-fee refund is appropriate</w:t>
      </w:r>
    </w:p>
    <w:p>
      <w:pPr>
        <w:pStyle w:val="Heading2"/>
      </w:pPr>
      <w:r>
        <w:t>A 100% refund of the affected service fee will normally be offered when evidence shows that:</w:t>
      </w:r>
    </w:p>
    <w:p>
      <w:pPr>
        <w:spacing w:after="60"/>
        <w:ind w:left="230"/>
      </w:pPr>
      <w:r>
        <w:rPr>
          <w:b/>
        </w:rPr>
        <w:t xml:space="preserve">☐  </w:t>
      </w:r>
      <w:r>
        <w:t>The agreed core service was not performed and no usable substitute deliverable was provided.</w:t>
      </w:r>
    </w:p>
    <w:p>
      <w:pPr>
        <w:spacing w:after="60"/>
        <w:ind w:left="230"/>
      </w:pPr>
      <w:r>
        <w:rPr>
          <w:b/>
        </w:rPr>
        <w:t xml:space="preserve">☐  </w:t>
      </w:r>
      <w:r>
        <w:t>Our documented error made the main deliverable fundamentally unusable for its agreed purpose.</w:t>
      </w:r>
    </w:p>
    <w:p>
      <w:pPr>
        <w:spacing w:after="60"/>
        <w:ind w:left="230"/>
      </w:pPr>
      <w:r>
        <w:rPr>
          <w:b/>
        </w:rPr>
        <w:t xml:space="preserve">☐  </w:t>
      </w:r>
      <w:r>
        <w:t>We knowingly provided fabricated evidence or materially false information.</w:t>
      </w:r>
    </w:p>
    <w:p>
      <w:pPr>
        <w:spacing w:after="60"/>
        <w:ind w:left="230"/>
      </w:pPr>
      <w:r>
        <w:rPr>
          <w:b/>
        </w:rPr>
        <w:t xml:space="preserve">☐  </w:t>
      </w:r>
      <w:r>
        <w:t>We intentionally concealed a material conflict, commission, or supplier relationship that contradicted the written agreement.</w:t>
      </w:r>
    </w:p>
    <w:p>
      <w:pPr>
        <w:spacing w:after="60"/>
        <w:ind w:left="230"/>
      </w:pPr>
      <w:r>
        <w:rPr>
          <w:b/>
        </w:rPr>
        <w:t xml:space="preserve">☐  </w:t>
      </w:r>
      <w:r>
        <w:t>We approved or released a shipment contrary to a clear written HOLD instruction due to our documented operational error.</w:t>
      </w:r>
    </w:p>
    <w:p>
      <w:r>
        <w:t>A full service-fee refund does not automatically mean reimbursement of the value of the products or indirect business losses. Any product-loss responsibility must be determined separately from the written scope, inspection method, evidence, supplier recovery, insurance, and applicable agreement.</w:t>
      </w:r>
    </w:p>
    <w:p>
      <w:pPr>
        <w:pStyle w:val="Heading1"/>
        <w:shd w:fill="EAF2F6"/>
      </w:pPr>
      <w:r>
        <w:t>3. Product funds and third-party costs</w:t>
      </w:r>
    </w:p>
    <w:tbl>
      <w:tblPr>
        <w:tblW w:type="dxa" w:w="9360"/>
        <w:jc w:val="left"/>
        <w:tblLayout w:type="fixed"/>
        <w:tblLook w:firstColumn="1" w:firstRow="1" w:lastColumn="0" w:lastRow="0" w:noHBand="0" w:noVBand="1" w:val="04A0"/>
        <w:tblInd w:w="120" w:type="dxa"/>
      </w:tblPr>
      <w:tblGrid>
        <w:gridCol w:w="2800"/>
        <w:gridCol w:w="6560"/>
      </w:tblGrid>
      <w:tr>
        <w:tc>
          <w:tcPr>
            <w:tcW w:type="dxa" w:w="2800"/>
            <w:shd w:fill="F3F6F8"/>
            <w:tcMar>
              <w:top w:w="90" w:type="dxa"/>
              <w:start w:w="120" w:type="dxa"/>
              <w:bottom w:w="90" w:type="dxa"/>
              <w:end w:w="120" w:type="dxa"/>
            </w:tcMar>
            <w:vAlign w:val="center"/>
          </w:tcPr>
          <w:p>
            <w:pPr>
              <w:pStyle w:val="FieldLabel"/>
            </w:pPr>
            <w:r>
              <w:t>Unspent product purchase funds</w:t>
            </w:r>
          </w:p>
        </w:tc>
        <w:tc>
          <w:tcPr>
            <w:tcW w:type="dxa" w:w="6560"/>
            <w:tcMar>
              <w:top w:w="90" w:type="dxa"/>
              <w:start w:w="120" w:type="dxa"/>
              <w:bottom w:w="90" w:type="dxa"/>
              <w:end w:w="120" w:type="dxa"/>
            </w:tcMar>
            <w:vAlign w:val="center"/>
          </w:tcPr>
          <w:p>
            <w:pPr>
              <w:pStyle w:val="FieldEntry"/>
            </w:pPr>
            <w:r>
              <w:t>Refunded 100% after reconciliation, subject only to amounts already authorized and committed.</w:t>
            </w:r>
          </w:p>
        </w:tc>
      </w:tr>
      <w:tr>
        <w:tc>
          <w:tcPr>
            <w:tcW w:type="dxa" w:w="2800"/>
            <w:shd w:fill="F3F6F8"/>
            <w:tcMar>
              <w:top w:w="90" w:type="dxa"/>
              <w:start w:w="120" w:type="dxa"/>
              <w:bottom w:w="90" w:type="dxa"/>
              <w:end w:w="120" w:type="dxa"/>
            </w:tcMar>
            <w:vAlign w:val="center"/>
          </w:tcPr>
          <w:p>
            <w:pPr>
              <w:pStyle w:val="FieldLabel"/>
            </w:pPr>
            <w:r>
              <w:t>Funds already paid to a supplier</w:t>
            </w:r>
          </w:p>
        </w:tc>
        <w:tc>
          <w:tcPr>
            <w:tcW w:type="dxa" w:w="6560"/>
            <w:tcMar>
              <w:top w:w="90" w:type="dxa"/>
              <w:start w:w="120" w:type="dxa"/>
              <w:bottom w:w="90" w:type="dxa"/>
              <w:end w:w="120" w:type="dxa"/>
            </w:tcMar>
            <w:vAlign w:val="center"/>
          </w:tcPr>
          <w:p>
            <w:pPr>
              <w:pStyle w:val="FieldEntry"/>
            </w:pPr>
            <w:r>
              <w:t>Not automatically refundable by Packonics LLC. We will document the payment and pursue cancellation, credit, replacement, or recovery where commercially reasonable; recovered amounts belong to the client.</w:t>
            </w:r>
          </w:p>
        </w:tc>
      </w:tr>
      <w:tr>
        <w:tc>
          <w:tcPr>
            <w:tcW w:type="dxa" w:w="2800"/>
            <w:shd w:fill="F3F6F8"/>
            <w:tcMar>
              <w:top w:w="90" w:type="dxa"/>
              <w:start w:w="120" w:type="dxa"/>
              <w:bottom w:w="90" w:type="dxa"/>
              <w:end w:w="120" w:type="dxa"/>
            </w:tcMar>
            <w:vAlign w:val="center"/>
          </w:tcPr>
          <w:p>
            <w:pPr>
              <w:pStyle w:val="FieldLabel"/>
            </w:pPr>
            <w:r>
              <w:t>Samples, testing, inspection travel, freight, duty, customs, insurance, and other third-party charges</w:t>
            </w:r>
          </w:p>
        </w:tc>
        <w:tc>
          <w:tcPr>
            <w:tcW w:type="dxa" w:w="6560"/>
            <w:tcMar>
              <w:top w:w="90" w:type="dxa"/>
              <w:start w:w="120" w:type="dxa"/>
              <w:bottom w:w="90" w:type="dxa"/>
              <w:end w:w="120" w:type="dxa"/>
            </w:tcMar>
            <w:vAlign w:val="center"/>
          </w:tcPr>
          <w:p>
            <w:pPr>
              <w:pStyle w:val="FieldEntry"/>
            </w:pPr>
            <w:r>
              <w:t>Non-refundable once actually incurred, except to the extent the third party refunds or credits them.</w:t>
            </w:r>
          </w:p>
        </w:tc>
      </w:tr>
      <w:tr>
        <w:tc>
          <w:tcPr>
            <w:tcW w:type="dxa" w:w="2800"/>
            <w:shd w:fill="F3F6F8"/>
            <w:tcMar>
              <w:top w:w="90" w:type="dxa"/>
              <w:start w:w="120" w:type="dxa"/>
              <w:bottom w:w="90" w:type="dxa"/>
              <w:end w:w="120" w:type="dxa"/>
            </w:tcMar>
            <w:vAlign w:val="center"/>
          </w:tcPr>
          <w:p>
            <w:pPr>
              <w:pStyle w:val="FieldLabel"/>
            </w:pPr>
            <w:r>
              <w:t>Payment-processing and currency-conversion costs</w:t>
            </w:r>
          </w:p>
        </w:tc>
        <w:tc>
          <w:tcPr>
            <w:tcW w:type="dxa" w:w="6560"/>
            <w:tcMar>
              <w:top w:w="90" w:type="dxa"/>
              <w:start w:w="120" w:type="dxa"/>
              <w:bottom w:w="90" w:type="dxa"/>
              <w:end w:w="120" w:type="dxa"/>
            </w:tcMar>
            <w:vAlign w:val="center"/>
          </w:tcPr>
          <w:p>
            <w:pPr>
              <w:pStyle w:val="FieldEntry"/>
            </w:pPr>
            <w:r>
              <w:t>Handled according to the payment method and written quote. Stripe notes that original processing and currency-conversion fees may not be returned to the business when a refund is issued.</w:t>
            </w:r>
          </w:p>
        </w:tc>
      </w:tr>
    </w:tbl>
    <w:p>
      <w:pPr>
        <w:pStyle w:val="Heading1"/>
        <w:shd w:fill="EAF2F6"/>
      </w:pPr>
      <w:r>
        <w:t>4. Situations that are not automatically a service error</w:t>
      </w:r>
    </w:p>
    <w:p>
      <w:pPr>
        <w:pStyle w:val="Heading2"/>
      </w:pPr>
      <w:r>
        <w:t>We will still investigate these situations, but they do not by themselves create an automatic service-fee or product-value refund:</w:t>
      </w:r>
    </w:p>
    <w:p>
      <w:pPr>
        <w:spacing w:after="60"/>
        <w:ind w:left="230"/>
      </w:pPr>
      <w:r>
        <w:rPr>
          <w:b/>
        </w:rPr>
        <w:t xml:space="preserve">☐  </w:t>
      </w:r>
      <w:r>
        <w:t>A supplier defect that was outside the agreed inspection scope or could not reasonably be detected by the agreed sampling method.</w:t>
      </w:r>
    </w:p>
    <w:p>
      <w:pPr>
        <w:spacing w:after="60"/>
        <w:ind w:left="230"/>
      </w:pPr>
      <w:r>
        <w:rPr>
          <w:b/>
        </w:rPr>
        <w:t xml:space="preserve">☐  </w:t>
      </w:r>
      <w:r>
        <w:t>Differences within an approved tolerance, approved sample, specification, or written buyer decision.</w:t>
      </w:r>
    </w:p>
    <w:p>
      <w:pPr>
        <w:spacing w:after="60"/>
        <w:ind w:left="230"/>
      </w:pPr>
      <w:r>
        <w:rPr>
          <w:b/>
        </w:rPr>
        <w:t xml:space="preserve">☐  </w:t>
      </w:r>
      <w:r>
        <w:t>Supplier, carrier, customs, port, weather, regulatory, or force-majeure delay not caused by our failure to perform the agreed service.</w:t>
      </w:r>
    </w:p>
    <w:p>
      <w:pPr>
        <w:spacing w:after="60"/>
        <w:ind w:left="230"/>
      </w:pPr>
      <w:r>
        <w:rPr>
          <w:b/>
        </w:rPr>
        <w:t xml:space="preserve">☐  </w:t>
      </w:r>
      <w:r>
        <w:t>A buyer changes specifications, quantity, destination, timeline, or acceptance standard after work begins.</w:t>
      </w:r>
    </w:p>
    <w:p>
      <w:pPr>
        <w:spacing w:after="60"/>
        <w:ind w:left="230"/>
      </w:pPr>
      <w:r>
        <w:rPr>
          <w:b/>
        </w:rPr>
        <w:t xml:space="preserve">☐  </w:t>
      </w:r>
      <w:r>
        <w:t>Missing, inaccurate, or late information, approvals, artwork, payment, import documentation, or instructions from the buyer or its representatives.</w:t>
      </w:r>
    </w:p>
    <w:p>
      <w:pPr>
        <w:spacing w:after="60"/>
        <w:ind w:left="230"/>
      </w:pPr>
      <w:r>
        <w:rPr>
          <w:b/>
        </w:rPr>
        <w:t xml:space="preserve">☐  </w:t>
      </w:r>
      <w:r>
        <w:t>Normal commercial risk, market changes, exchange-rate changes, or a supplier refusing a recovery that was never guaranteed in writing.</w:t>
      </w:r>
    </w:p>
    <w:p>
      <w:r>
        <w:t>If our own documented error materially contributed to one of these events, the refund standard in Section 1 applies to the affected service fee.</w:t>
      </w:r>
    </w:p>
    <w:p>
      <w:pPr>
        <w:pStyle w:val="Heading1"/>
        <w:shd w:fill="EAF2F6"/>
      </w:pPr>
      <w:r>
        <w:t>5. Service termination</w:t>
      </w:r>
    </w:p>
    <w:tbl>
      <w:tblPr>
        <w:tblW w:type="dxa" w:w="9360"/>
        <w:jc w:val="left"/>
        <w:tblLayout w:type="fixed"/>
        <w:tblLook w:firstColumn="1" w:firstRow="1" w:lastColumn="0" w:lastRow="0" w:noHBand="0" w:noVBand="1" w:val="04A0"/>
        <w:tblInd w:w="120" w:type="dxa"/>
      </w:tblPr>
      <w:tblGrid>
        <w:gridCol w:w="2800"/>
        <w:gridCol w:w="6560"/>
      </w:tblGrid>
      <w:tr>
        <w:tc>
          <w:tcPr>
            <w:tcW w:type="dxa" w:w="2800"/>
            <w:shd w:fill="F3F6F8"/>
            <w:tcMar>
              <w:top w:w="90" w:type="dxa"/>
              <w:start w:w="120" w:type="dxa"/>
              <w:bottom w:w="90" w:type="dxa"/>
              <w:end w:w="120" w:type="dxa"/>
            </w:tcMar>
            <w:vAlign w:val="center"/>
          </w:tcPr>
          <w:p>
            <w:pPr>
              <w:pStyle w:val="FieldLabel"/>
            </w:pPr>
            <w:r>
              <w:t>Termination by the client</w:t>
            </w:r>
          </w:p>
        </w:tc>
        <w:tc>
          <w:tcPr>
            <w:tcW w:type="dxa" w:w="6560"/>
            <w:tcMar>
              <w:top w:w="90" w:type="dxa"/>
              <w:start w:w="120" w:type="dxa"/>
              <w:bottom w:w="90" w:type="dxa"/>
              <w:end w:w="120" w:type="dxa"/>
            </w:tcMar>
            <w:vAlign w:val="center"/>
          </w:tcPr>
          <w:p>
            <w:pPr>
              <w:pStyle w:val="FieldEntry"/>
            </w:pPr>
            <w:r>
              <w:t>The client may request termination in writing at any time. We will stop new work as reasonably possible, account for completed work and authorized commitments, and refund the unearned balance of service fees and unspent product funds.</w:t>
            </w:r>
          </w:p>
        </w:tc>
      </w:tr>
      <w:tr>
        <w:tc>
          <w:tcPr>
            <w:tcW w:type="dxa" w:w="2800"/>
            <w:shd w:fill="F3F6F8"/>
            <w:tcMar>
              <w:top w:w="90" w:type="dxa"/>
              <w:start w:w="120" w:type="dxa"/>
              <w:bottom w:w="90" w:type="dxa"/>
              <w:end w:w="120" w:type="dxa"/>
            </w:tcMar>
            <w:vAlign w:val="center"/>
          </w:tcPr>
          <w:p>
            <w:pPr>
              <w:pStyle w:val="FieldLabel"/>
            </w:pPr>
            <w:r>
              <w:t>Termination by ChinaBuyingOffice</w:t>
            </w:r>
          </w:p>
        </w:tc>
        <w:tc>
          <w:tcPr>
            <w:tcW w:type="dxa" w:w="6560"/>
            <w:tcMar>
              <w:top w:w="90" w:type="dxa"/>
              <w:start w:w="120" w:type="dxa"/>
              <w:bottom w:w="90" w:type="dxa"/>
              <w:end w:w="120" w:type="dxa"/>
            </w:tcMar>
            <w:vAlign w:val="center"/>
          </w:tcPr>
          <w:p>
            <w:pPr>
              <w:pStyle w:val="FieldEntry"/>
            </w:pPr>
            <w:r>
              <w:t>We may suspend or terminate for non-payment, unlawful or unsafe goods, sanctions/compliance risk, abusive conduct, repeated failure to provide required decisions, material false information, conflict of interest, or instructions that would expose either party to unreasonable legal or operational risk.</w:t>
            </w:r>
          </w:p>
        </w:tc>
      </w:tr>
      <w:tr>
        <w:tc>
          <w:tcPr>
            <w:tcW w:type="dxa" w:w="2800"/>
            <w:shd w:fill="F3F6F8"/>
            <w:tcMar>
              <w:top w:w="90" w:type="dxa"/>
              <w:start w:w="120" w:type="dxa"/>
              <w:bottom w:w="90" w:type="dxa"/>
              <w:end w:w="120" w:type="dxa"/>
            </w:tcMar>
            <w:vAlign w:val="center"/>
          </w:tcPr>
          <w:p>
            <w:pPr>
              <w:pStyle w:val="FieldLabel"/>
            </w:pPr>
            <w:r>
              <w:t>Work already completed</w:t>
            </w:r>
          </w:p>
        </w:tc>
        <w:tc>
          <w:tcPr>
            <w:tcW w:type="dxa" w:w="6560"/>
            <w:tcMar>
              <w:top w:w="90" w:type="dxa"/>
              <w:start w:w="120" w:type="dxa"/>
              <w:bottom w:w="90" w:type="dxa"/>
              <w:end w:w="120" w:type="dxa"/>
            </w:tcMar>
            <w:vAlign w:val="center"/>
          </w:tcPr>
          <w:p>
            <w:pPr>
              <w:pStyle w:val="FieldEntry"/>
            </w:pPr>
            <w:r>
              <w:t>Completed milestones and work reasonably performed before termination remain chargeable unless the work itself qualifies for a refund under Section 1.</w:t>
            </w:r>
          </w:p>
        </w:tc>
      </w:tr>
      <w:tr>
        <w:tc>
          <w:tcPr>
            <w:tcW w:type="dxa" w:w="2800"/>
            <w:shd w:fill="F3F6F8"/>
            <w:tcMar>
              <w:top w:w="90" w:type="dxa"/>
              <w:start w:w="120" w:type="dxa"/>
              <w:bottom w:w="90" w:type="dxa"/>
              <w:end w:w="120" w:type="dxa"/>
            </w:tcMar>
            <w:vAlign w:val="center"/>
          </w:tcPr>
          <w:p>
            <w:pPr>
              <w:pStyle w:val="FieldLabel"/>
            </w:pPr>
            <w:r>
              <w:t>Handover</w:t>
            </w:r>
          </w:p>
        </w:tc>
        <w:tc>
          <w:tcPr>
            <w:tcW w:type="dxa" w:w="6560"/>
            <w:tcMar>
              <w:top w:w="90" w:type="dxa"/>
              <w:start w:w="120" w:type="dxa"/>
              <w:bottom w:w="90" w:type="dxa"/>
              <w:end w:w="120" w:type="dxa"/>
            </w:tcMar>
            <w:vAlign w:val="center"/>
          </w:tcPr>
          <w:p>
            <w:pPr>
              <w:pStyle w:val="FieldEntry"/>
            </w:pPr>
            <w:r>
              <w:t>After reconciliation, we will provide the client-owned project records reasonably available to us, subject to legal, privacy, platform, supplier, and third-party restrictions.</w:t>
            </w:r>
          </w:p>
        </w:tc>
      </w:tr>
    </w:tbl>
    <w:p>
      <w:pPr>
        <w:pStyle w:val="Heading1"/>
        <w:shd w:fill="EAF2F6"/>
      </w:pPr>
      <w:r>
        <w:t>6. How a service concern is handled</w:t>
      </w:r>
    </w:p>
    <w:p>
      <w:pPr>
        <w:spacing w:after="100"/>
        <w:ind w:left="72" w:hanging="72"/>
      </w:pPr>
      <w:r>
        <w:rPr>
          <w:b/>
          <w:color w:val="042547"/>
        </w:rPr>
        <w:t xml:space="preserve">1.  Raise the concern — </w:t>
      </w:r>
      <w:r>
        <w:t>Email support@packonics.com with the project number, disputed service, expected result, actual result, evidence, and requested remedy.</w:t>
      </w:r>
    </w:p>
    <w:p>
      <w:pPr>
        <w:spacing w:after="100"/>
        <w:ind w:left="72" w:hanging="72"/>
      </w:pPr>
      <w:r>
        <w:rPr>
          <w:b/>
          <w:color w:val="042547"/>
        </w:rPr>
        <w:t xml:space="preserve">2.  Acknowledgment — </w:t>
      </w:r>
      <w:r>
        <w:t>We normally acknowledge the concern within two business days.</w:t>
      </w:r>
    </w:p>
    <w:p>
      <w:pPr>
        <w:spacing w:after="100"/>
        <w:ind w:left="72" w:hanging="72"/>
      </w:pPr>
      <w:r>
        <w:rPr>
          <w:b/>
          <w:color w:val="042547"/>
        </w:rPr>
        <w:t xml:space="preserve">3.  Evidence review — </w:t>
      </w:r>
      <w:r>
        <w:t>We review the written scope, approvals, messages, reports, payment records, supplier evidence, and operational timeline.</w:t>
      </w:r>
    </w:p>
    <w:p>
      <w:pPr>
        <w:spacing w:after="100"/>
        <w:ind w:left="72" w:hanging="72"/>
      </w:pPr>
      <w:r>
        <w:rPr>
          <w:b/>
          <w:color w:val="042547"/>
        </w:rPr>
        <w:t xml:space="preserve">4.  Correction first when appropriate — </w:t>
      </w:r>
      <w:r>
        <w:t>If the problem can be fixed promptly without further risk, we offer a correction or redo at no additional service fee.</w:t>
      </w:r>
    </w:p>
    <w:p>
      <w:pPr>
        <w:spacing w:after="100"/>
        <w:ind w:left="72" w:hanging="72"/>
      </w:pPr>
      <w:r>
        <w:rPr>
          <w:b/>
          <w:color w:val="042547"/>
        </w:rPr>
        <w:t xml:space="preserve">5.  Written remedy proposal — </w:t>
      </w:r>
      <w:r>
        <w:t>We normally provide our proposed correction, refund range, termination plan, or other remedy within seven business days after receiving the information reasonably needed for review.</w:t>
      </w:r>
    </w:p>
    <w:p>
      <w:pPr>
        <w:spacing w:after="100"/>
        <w:ind w:left="72" w:hanging="72"/>
      </w:pPr>
      <w:r>
        <w:rPr>
          <w:b/>
          <w:color w:val="042547"/>
        </w:rPr>
        <w:t xml:space="preserve">6.  Discuss and document the resolution — </w:t>
      </w:r>
      <w:r>
        <w:t>We discuss the proposal in good faith and record the final agreed remedy in writing. If agreement is not reached, neither party gives up any rights available under the signed service agreement or applicable law.</w:t>
      </w:r>
    </w:p>
    <w:p>
      <w:pPr>
        <w:spacing w:after="100"/>
        <w:ind w:left="72" w:hanging="72"/>
      </w:pPr>
      <w:r>
        <w:rPr>
          <w:b/>
          <w:color w:val="042547"/>
        </w:rPr>
        <w:t xml:space="preserve">7.  Issue an approved refund — </w:t>
      </w:r>
      <w:r>
        <w:t>Packonics LLC normally initiates an agreed refund within ten business days. The payment provider or bank may require additional time to post it.</w:t>
      </w:r>
    </w:p>
    <w:p>
      <w:pPr>
        <w:pStyle w:val="Heading1"/>
        <w:shd w:fill="EAF2F6"/>
      </w:pPr>
      <w:r>
        <w:t>7. Important scope and legal notes</w:t>
      </w:r>
    </w:p>
    <w:p>
      <w:r>
        <w:t>This policy is a service standard and commercial promise. It does not replace a signed proposal, purchase plan, inspection standard, or service agreement. If a signed agreement contains project-specific refund, liability, dispute, or termination terms, those written terms control for that project to the extent permitted by applicable law.</w:t>
      </w:r>
    </w:p>
    <w:p>
      <w:r>
        <w:t>ChinaBuyingOffice provides procurement support and risk reduction; it does not guarantee that every product will be perfect, that every supplier will perform, that every inspection sample represents every unit, or that customs and logistics will be delay-free. Nothing in this policy limits rights that cannot legally be limited.</w:t>
      </w:r>
    </w:p>
    <w:p>
      <w:pPr>
        <w:spacing w:before="200"/>
      </w:pPr>
      <w:r>
        <w:rPr>
          <w:b/>
          <w:color w:val="042547"/>
        </w:rPr>
        <w:t>Policy contact: support@packonics.com</w:t>
      </w:r>
    </w:p>
    <w:p>
      <w:r>
        <w:t>Effective date: August 4, 2026  |  Policy version: 1.0</w:t>
      </w:r>
    </w:p>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E6E78"/>
        <w:sz w:val="16"/>
      </w:rPr>
      <w:t>ChinaBuyingOffice is operated by Packonics LLC  •  support@packonics.com  •  chinabuyingoffice.com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0B4F73"/>
        <w:sz w:val="16"/>
      </w:rPr>
      <w:t>CHINABUYINGOFFICE  |  YOUR PURCHASING OFFICE IN CHINA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ptos" w:hAnsi="Aptos"/>
      <w:color w:val="172B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042547"/>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0B4F73"/>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04254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ptos Display" w:hAnsi="Aptos Display"/>
      <w:b/>
      <w:color w:val="04254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5E6E78"/>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pPr>
      <w:spacing w:after="40"/>
    </w:pPr>
    <w:rPr>
      <w:rFonts w:ascii="Aptos" w:hAnsi="Aptos"/>
      <w:b/>
      <w:color w:val="042547"/>
      <w:sz w:val="18"/>
    </w:rPr>
  </w:style>
  <w:style w:type="paragraph" w:customStyle="1" w:styleId="FieldEntry">
    <w:name w:val="Field Entry"/>
    <w:pPr>
      <w:spacing w:after="100"/>
    </w:pPr>
    <w:rPr>
      <w:rFonts w:ascii="Aptos" w:hAnsi="Aptos"/>
      <w:color w:val="5E6E78"/>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CBO Service Guarantee Refund Policy</dc:title>
  <dc:subject>China procurement client intake template</dc:subject>
  <dc:creator>ChinaBuyingOffice / Packonics LLC</dc:creator>
  <cp:keywords>China sourcing, supplier comparison, inspection, procurement</cp:keywords>
  <dc:description>generated by python-docx</dc:description>
  <cp:lastModifiedBy/>
  <cp:revision>1</cp:revision>
  <dcterms:created xsi:type="dcterms:W3CDTF">2013-12-23T23:15:00Z</dcterms:created>
  <dcterms:modified xsi:type="dcterms:W3CDTF">2013-12-23T23:15:00Z</dcterms:modified>
  <cp:category/>
</cp:coreProperties>
</file>